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3997" w14:textId="77777777" w:rsidR="00AC5DAD" w:rsidRDefault="00000000">
      <w:pPr>
        <w:spacing w:after="0" w:line="259" w:lineRule="auto"/>
        <w:ind w:left="-5" w:right="165"/>
      </w:pPr>
      <w:r>
        <w:rPr>
          <w:b/>
          <w:sz w:val="24"/>
        </w:rPr>
        <w:t xml:space="preserve">U.S. Soccer Referee Program  </w:t>
      </w:r>
    </w:p>
    <w:p w14:paraId="4F6524D4" w14:textId="77777777" w:rsidR="00AC5DAD" w:rsidRDefault="00000000">
      <w:pPr>
        <w:spacing w:after="0" w:line="259" w:lineRule="auto"/>
        <w:ind w:left="-5" w:right="165"/>
      </w:pPr>
      <w:r>
        <w:rPr>
          <w:b/>
          <w:sz w:val="24"/>
        </w:rPr>
        <w:t xml:space="preserve">Assignor - Grassroots License </w:t>
      </w:r>
    </w:p>
    <w:p w14:paraId="7642C416" w14:textId="5202440B" w:rsidR="00AC5DAD" w:rsidRDefault="00000000">
      <w:pPr>
        <w:spacing w:after="0" w:line="259" w:lineRule="auto"/>
        <w:ind w:left="-5" w:right="165"/>
      </w:pPr>
      <w:r>
        <w:rPr>
          <w:b/>
          <w:sz w:val="24"/>
        </w:rPr>
        <w:t xml:space="preserve">Certification &amp; Re-Certification Requirements for 2020-21 </w:t>
      </w:r>
      <w:r w:rsidR="00E109EC" w:rsidRPr="00E109EC">
        <w:rPr>
          <w:b/>
          <w:color w:val="0070C0"/>
          <w:sz w:val="24"/>
        </w:rPr>
        <w:t>Missouri</w:t>
      </w:r>
    </w:p>
    <w:p w14:paraId="7A696F7B" w14:textId="77777777" w:rsidR="00AC5DAD" w:rsidRDefault="00000000">
      <w:pPr>
        <w:spacing w:after="213" w:line="259" w:lineRule="auto"/>
        <w:ind w:left="-5" w:right="165"/>
      </w:pPr>
      <w:r>
        <w:rPr>
          <w:b/>
          <w:sz w:val="24"/>
        </w:rPr>
        <w:t>_____________________________________________________________________</w:t>
      </w:r>
    </w:p>
    <w:p w14:paraId="39E6CCAD" w14:textId="77777777" w:rsidR="00AC5DAD" w:rsidRDefault="00000000">
      <w:pPr>
        <w:spacing w:after="232" w:line="259" w:lineRule="auto"/>
        <w:ind w:left="0" w:right="197" w:firstLine="0"/>
        <w:jc w:val="center"/>
      </w:pPr>
      <w:r>
        <w:rPr>
          <w:b/>
        </w:rPr>
        <w:t xml:space="preserve">Assignor - Grassroots License </w:t>
      </w:r>
    </w:p>
    <w:p w14:paraId="6646E096" w14:textId="77777777" w:rsidR="00AC5DAD" w:rsidRDefault="00000000">
      <w:pPr>
        <w:spacing w:after="245"/>
      </w:pPr>
      <w:r>
        <w:t xml:space="preserve">U.S. Soccer recommends that assignors with the Grassroots License be utilized to assign match officials to games in Grassroots environments. </w:t>
      </w:r>
    </w:p>
    <w:p w14:paraId="4822CF3B" w14:textId="77777777" w:rsidR="00AC5DAD" w:rsidRDefault="00000000">
      <w:r>
        <w:rPr>
          <w:noProof/>
        </w:rPr>
        <w:drawing>
          <wp:anchor distT="0" distB="0" distL="114300" distR="114300" simplePos="0" relativeHeight="251658240" behindDoc="0" locked="0" layoutInCell="1" allowOverlap="0" wp14:anchorId="6E5A876A" wp14:editId="2209E505">
            <wp:simplePos x="0" y="0"/>
            <wp:positionH relativeFrom="page">
              <wp:posOffset>6069329</wp:posOffset>
            </wp:positionH>
            <wp:positionV relativeFrom="page">
              <wp:posOffset>165736</wp:posOffset>
            </wp:positionV>
            <wp:extent cx="685800" cy="68516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685800" cy="685165"/>
                    </a:xfrm>
                    <a:prstGeom prst="rect">
                      <a:avLst/>
                    </a:prstGeom>
                  </pic:spPr>
                </pic:pic>
              </a:graphicData>
            </a:graphic>
          </wp:anchor>
        </w:drawing>
      </w:r>
      <w:r>
        <w:t xml:space="preserve">In addition to course and training requirements in the table below, candidates seeking certification or re-certification for the assignor license </w:t>
      </w:r>
      <w:r>
        <w:rPr>
          <w:b/>
        </w:rPr>
        <w:t xml:space="preserve">must be 18 yrs. old or older </w:t>
      </w:r>
      <w:r>
        <w:t xml:space="preserve">and </w:t>
      </w:r>
      <w:r>
        <w:rPr>
          <w:b/>
        </w:rPr>
        <w:t>must complete the following risk management and compliance training</w:t>
      </w:r>
      <w:r>
        <w:t xml:space="preserve">. </w:t>
      </w:r>
    </w:p>
    <w:tbl>
      <w:tblPr>
        <w:tblStyle w:val="TableGrid"/>
        <w:tblW w:w="9151" w:type="dxa"/>
        <w:tblInd w:w="5" w:type="dxa"/>
        <w:tblCellMar>
          <w:top w:w="50" w:type="dxa"/>
          <w:left w:w="115" w:type="dxa"/>
          <w:bottom w:w="0" w:type="dxa"/>
          <w:right w:w="115" w:type="dxa"/>
        </w:tblCellMar>
        <w:tblLook w:val="04A0" w:firstRow="1" w:lastRow="0" w:firstColumn="1" w:lastColumn="0" w:noHBand="0" w:noVBand="1"/>
      </w:tblPr>
      <w:tblGrid>
        <w:gridCol w:w="4577"/>
        <w:gridCol w:w="4574"/>
      </w:tblGrid>
      <w:tr w:rsidR="00AC5DAD" w14:paraId="7160635C" w14:textId="77777777">
        <w:trPr>
          <w:trHeight w:val="557"/>
        </w:trPr>
        <w:tc>
          <w:tcPr>
            <w:tcW w:w="9151" w:type="dxa"/>
            <w:gridSpan w:val="2"/>
            <w:tcBorders>
              <w:top w:val="single" w:sz="4" w:space="0" w:color="000000"/>
              <w:left w:val="single" w:sz="4" w:space="0" w:color="000000"/>
              <w:bottom w:val="single" w:sz="4" w:space="0" w:color="000000"/>
              <w:right w:val="single" w:sz="4" w:space="0" w:color="000000"/>
            </w:tcBorders>
            <w:vAlign w:val="center"/>
          </w:tcPr>
          <w:p w14:paraId="7A74E41F" w14:textId="77777777" w:rsidR="00AC5DAD" w:rsidRDefault="00000000">
            <w:pPr>
              <w:spacing w:after="0" w:line="259" w:lineRule="auto"/>
              <w:ind w:left="2" w:firstLine="0"/>
              <w:jc w:val="center"/>
            </w:pPr>
            <w:r>
              <w:rPr>
                <w:b/>
              </w:rPr>
              <w:t xml:space="preserve">Certification Requirements </w:t>
            </w:r>
          </w:p>
        </w:tc>
      </w:tr>
      <w:tr w:rsidR="00AC5DAD" w14:paraId="501C06FA" w14:textId="77777777">
        <w:trPr>
          <w:trHeight w:val="631"/>
        </w:trPr>
        <w:tc>
          <w:tcPr>
            <w:tcW w:w="4577" w:type="dxa"/>
            <w:tcBorders>
              <w:top w:val="single" w:sz="4" w:space="0" w:color="000000"/>
              <w:left w:val="single" w:sz="4" w:space="0" w:color="000000"/>
              <w:bottom w:val="single" w:sz="4" w:space="0" w:color="000000"/>
              <w:right w:val="single" w:sz="4" w:space="0" w:color="000000"/>
            </w:tcBorders>
            <w:vAlign w:val="center"/>
          </w:tcPr>
          <w:p w14:paraId="19D0A20E" w14:textId="77777777" w:rsidR="00AC5DAD" w:rsidRDefault="00000000">
            <w:pPr>
              <w:spacing w:after="0" w:line="259" w:lineRule="auto"/>
              <w:ind w:left="0" w:firstLine="0"/>
              <w:jc w:val="center"/>
            </w:pPr>
            <w:r>
              <w:t xml:space="preserve">Minimum Age </w:t>
            </w:r>
          </w:p>
        </w:tc>
        <w:tc>
          <w:tcPr>
            <w:tcW w:w="4574" w:type="dxa"/>
            <w:tcBorders>
              <w:top w:val="single" w:sz="4" w:space="0" w:color="000000"/>
              <w:left w:val="single" w:sz="4" w:space="0" w:color="000000"/>
              <w:bottom w:val="single" w:sz="4" w:space="0" w:color="000000"/>
              <w:right w:val="single" w:sz="4" w:space="0" w:color="000000"/>
            </w:tcBorders>
            <w:vAlign w:val="center"/>
          </w:tcPr>
          <w:p w14:paraId="73E5C0A2" w14:textId="77777777" w:rsidR="00AC5DAD" w:rsidRDefault="00000000">
            <w:pPr>
              <w:spacing w:after="0" w:line="259" w:lineRule="auto"/>
              <w:ind w:left="2" w:firstLine="0"/>
              <w:jc w:val="center"/>
            </w:pPr>
            <w:r>
              <w:t xml:space="preserve">18 years </w:t>
            </w:r>
          </w:p>
        </w:tc>
      </w:tr>
      <w:tr w:rsidR="00AC5DAD" w14:paraId="1E06D274" w14:textId="77777777">
        <w:trPr>
          <w:trHeight w:val="629"/>
        </w:trPr>
        <w:tc>
          <w:tcPr>
            <w:tcW w:w="4577" w:type="dxa"/>
            <w:tcBorders>
              <w:top w:val="single" w:sz="4" w:space="0" w:color="000000"/>
              <w:left w:val="single" w:sz="4" w:space="0" w:color="000000"/>
              <w:bottom w:val="single" w:sz="4" w:space="0" w:color="000000"/>
              <w:right w:val="single" w:sz="4" w:space="0" w:color="000000"/>
            </w:tcBorders>
            <w:vAlign w:val="center"/>
          </w:tcPr>
          <w:p w14:paraId="5E449609" w14:textId="77777777" w:rsidR="00AC5DAD" w:rsidRDefault="00000000">
            <w:pPr>
              <w:spacing w:after="0" w:line="259" w:lineRule="auto"/>
              <w:ind w:left="0" w:firstLine="0"/>
              <w:jc w:val="center"/>
            </w:pPr>
            <w:r>
              <w:t>Prior Experience</w:t>
            </w:r>
            <w:r>
              <w:rPr>
                <w:b/>
              </w:rPr>
              <w:t xml:space="preserve"> </w:t>
            </w:r>
          </w:p>
        </w:tc>
        <w:tc>
          <w:tcPr>
            <w:tcW w:w="4574" w:type="dxa"/>
            <w:tcBorders>
              <w:top w:val="single" w:sz="4" w:space="0" w:color="000000"/>
              <w:left w:val="single" w:sz="4" w:space="0" w:color="000000"/>
              <w:bottom w:val="single" w:sz="4" w:space="0" w:color="000000"/>
              <w:right w:val="single" w:sz="4" w:space="0" w:color="000000"/>
            </w:tcBorders>
          </w:tcPr>
          <w:p w14:paraId="5F3073E8" w14:textId="77777777" w:rsidR="00AC5DAD" w:rsidRDefault="00000000">
            <w:pPr>
              <w:spacing w:after="0" w:line="259" w:lineRule="auto"/>
              <w:ind w:left="900" w:right="900" w:firstLine="0"/>
              <w:jc w:val="center"/>
              <w:rPr>
                <w:b/>
              </w:rPr>
            </w:pPr>
            <w:r>
              <w:t xml:space="preserve">Determined by the State </w:t>
            </w:r>
            <w:r w:rsidR="00E109EC">
              <w:t>R</w:t>
            </w:r>
            <w:r>
              <w:t>eferee Assn</w:t>
            </w:r>
            <w:r>
              <w:rPr>
                <w:b/>
              </w:rPr>
              <w:t xml:space="preserve"> </w:t>
            </w:r>
          </w:p>
          <w:p w14:paraId="083CC2B8" w14:textId="380A7C8C" w:rsidR="00E109EC" w:rsidRDefault="00E109EC">
            <w:pPr>
              <w:spacing w:after="0" w:line="259" w:lineRule="auto"/>
              <w:ind w:left="900" w:right="900" w:firstLine="0"/>
              <w:jc w:val="center"/>
            </w:pPr>
            <w:r w:rsidRPr="00E109EC">
              <w:rPr>
                <w:b/>
                <w:color w:val="0070C0"/>
              </w:rPr>
              <w:t xml:space="preserve">Mo – 2 years </w:t>
            </w:r>
            <w:r>
              <w:rPr>
                <w:b/>
                <w:color w:val="0070C0"/>
              </w:rPr>
              <w:t xml:space="preserve">min registration as </w:t>
            </w:r>
            <w:r w:rsidRPr="00E109EC">
              <w:rPr>
                <w:b/>
                <w:color w:val="0070C0"/>
              </w:rPr>
              <w:t>referee</w:t>
            </w:r>
            <w:r w:rsidR="00525E0D">
              <w:rPr>
                <w:b/>
                <w:color w:val="0070C0"/>
              </w:rPr>
              <w:t xml:space="preserve"> *</w:t>
            </w:r>
          </w:p>
        </w:tc>
      </w:tr>
      <w:tr w:rsidR="00AC5DAD" w14:paraId="2C48DE46" w14:textId="77777777">
        <w:trPr>
          <w:trHeight w:val="631"/>
        </w:trPr>
        <w:tc>
          <w:tcPr>
            <w:tcW w:w="4577" w:type="dxa"/>
            <w:tcBorders>
              <w:top w:val="single" w:sz="4" w:space="0" w:color="000000"/>
              <w:left w:val="single" w:sz="4" w:space="0" w:color="000000"/>
              <w:bottom w:val="single" w:sz="4" w:space="0" w:color="000000"/>
              <w:right w:val="single" w:sz="4" w:space="0" w:color="000000"/>
            </w:tcBorders>
            <w:vAlign w:val="center"/>
          </w:tcPr>
          <w:p w14:paraId="06C47C2B" w14:textId="77777777" w:rsidR="00AC5DAD" w:rsidRDefault="00000000">
            <w:pPr>
              <w:spacing w:after="0" w:line="259" w:lineRule="auto"/>
              <w:ind w:left="0" w:firstLine="0"/>
              <w:jc w:val="center"/>
            </w:pPr>
            <w:r>
              <w:t>Training</w:t>
            </w:r>
            <w:r>
              <w:rPr>
                <w:b/>
              </w:rPr>
              <w:t xml:space="preserve"> </w:t>
            </w:r>
          </w:p>
        </w:tc>
        <w:tc>
          <w:tcPr>
            <w:tcW w:w="4574" w:type="dxa"/>
            <w:tcBorders>
              <w:top w:val="single" w:sz="4" w:space="0" w:color="000000"/>
              <w:left w:val="single" w:sz="4" w:space="0" w:color="000000"/>
              <w:bottom w:val="single" w:sz="4" w:space="0" w:color="000000"/>
              <w:right w:val="single" w:sz="4" w:space="0" w:color="000000"/>
            </w:tcBorders>
          </w:tcPr>
          <w:p w14:paraId="3ADC30CC" w14:textId="77777777" w:rsidR="00AC5DAD" w:rsidRDefault="00000000">
            <w:pPr>
              <w:spacing w:after="0" w:line="259" w:lineRule="auto"/>
              <w:ind w:left="0" w:firstLine="0"/>
              <w:jc w:val="center"/>
            </w:pPr>
            <w:r>
              <w:t>Pass the Grassroots Assignor Course hosted by the State Referee Program</w:t>
            </w:r>
            <w:r>
              <w:rPr>
                <w:b/>
              </w:rPr>
              <w:t xml:space="preserve"> </w:t>
            </w:r>
          </w:p>
        </w:tc>
      </w:tr>
      <w:tr w:rsidR="00AC5DAD" w14:paraId="32F615A3" w14:textId="77777777">
        <w:trPr>
          <w:trHeight w:val="540"/>
        </w:trPr>
        <w:tc>
          <w:tcPr>
            <w:tcW w:w="4577" w:type="dxa"/>
            <w:tcBorders>
              <w:top w:val="single" w:sz="4" w:space="0" w:color="000000"/>
              <w:left w:val="single" w:sz="4" w:space="0" w:color="000000"/>
              <w:bottom w:val="single" w:sz="4" w:space="0" w:color="000000"/>
              <w:right w:val="single" w:sz="4" w:space="0" w:color="000000"/>
            </w:tcBorders>
            <w:vAlign w:val="center"/>
          </w:tcPr>
          <w:p w14:paraId="0283E6F2" w14:textId="77777777" w:rsidR="00AC5DAD" w:rsidRDefault="00000000">
            <w:pPr>
              <w:spacing w:after="0" w:line="259" w:lineRule="auto"/>
              <w:ind w:left="2" w:firstLine="0"/>
              <w:jc w:val="center"/>
            </w:pPr>
            <w:r>
              <w:t>Course Quiz</w:t>
            </w:r>
            <w:r>
              <w:rPr>
                <w:b/>
              </w:rPr>
              <w:t xml:space="preserve"> </w:t>
            </w:r>
          </w:p>
        </w:tc>
        <w:tc>
          <w:tcPr>
            <w:tcW w:w="4574" w:type="dxa"/>
            <w:tcBorders>
              <w:top w:val="single" w:sz="4" w:space="0" w:color="000000"/>
              <w:left w:val="single" w:sz="4" w:space="0" w:color="000000"/>
              <w:bottom w:val="single" w:sz="4" w:space="0" w:color="000000"/>
              <w:right w:val="single" w:sz="4" w:space="0" w:color="000000"/>
            </w:tcBorders>
            <w:vAlign w:val="center"/>
          </w:tcPr>
          <w:p w14:paraId="193F7848" w14:textId="77777777" w:rsidR="00AC5DAD" w:rsidRDefault="00000000">
            <w:pPr>
              <w:spacing w:after="0" w:line="259" w:lineRule="auto"/>
              <w:ind w:left="2" w:firstLine="0"/>
              <w:jc w:val="center"/>
            </w:pPr>
            <w:r>
              <w:t>Grassroots Assignor Quiz</w:t>
            </w:r>
            <w:r>
              <w:rPr>
                <w:b/>
              </w:rPr>
              <w:t xml:space="preserve"> </w:t>
            </w:r>
          </w:p>
        </w:tc>
      </w:tr>
      <w:tr w:rsidR="00AC5DAD" w14:paraId="0C0F3A44" w14:textId="77777777">
        <w:trPr>
          <w:trHeight w:val="900"/>
        </w:trPr>
        <w:tc>
          <w:tcPr>
            <w:tcW w:w="4577" w:type="dxa"/>
            <w:tcBorders>
              <w:top w:val="single" w:sz="4" w:space="0" w:color="000000"/>
              <w:left w:val="single" w:sz="4" w:space="0" w:color="000000"/>
              <w:bottom w:val="single" w:sz="4" w:space="0" w:color="000000"/>
              <w:right w:val="single" w:sz="4" w:space="0" w:color="000000"/>
            </w:tcBorders>
          </w:tcPr>
          <w:p w14:paraId="25A8D087" w14:textId="77777777" w:rsidR="00AC5DAD" w:rsidRDefault="00000000">
            <w:pPr>
              <w:spacing w:after="0" w:line="259" w:lineRule="auto"/>
              <w:ind w:left="0" w:firstLine="0"/>
              <w:jc w:val="center"/>
            </w:pPr>
            <w:r>
              <w:t xml:space="preserve">Risk Management and Compliance </w:t>
            </w:r>
          </w:p>
        </w:tc>
        <w:tc>
          <w:tcPr>
            <w:tcW w:w="4574" w:type="dxa"/>
            <w:tcBorders>
              <w:top w:val="single" w:sz="4" w:space="0" w:color="000000"/>
              <w:left w:val="single" w:sz="4" w:space="0" w:color="000000"/>
              <w:bottom w:val="single" w:sz="4" w:space="0" w:color="000000"/>
              <w:right w:val="single" w:sz="4" w:space="0" w:color="000000"/>
            </w:tcBorders>
          </w:tcPr>
          <w:p w14:paraId="58549B5D" w14:textId="77777777" w:rsidR="00AC5DAD" w:rsidRDefault="00000000">
            <w:pPr>
              <w:spacing w:after="0" w:line="259" w:lineRule="auto"/>
              <w:ind w:left="3" w:firstLine="0"/>
              <w:jc w:val="center"/>
            </w:pPr>
            <w:r>
              <w:t xml:space="preserve">NCSI Background Check – Gold Standard </w:t>
            </w:r>
          </w:p>
          <w:p w14:paraId="40D93433" w14:textId="77777777" w:rsidR="00AC5DAD" w:rsidRDefault="00000000">
            <w:pPr>
              <w:spacing w:after="0" w:line="259" w:lineRule="auto"/>
              <w:ind w:left="2" w:firstLine="0"/>
              <w:jc w:val="center"/>
            </w:pPr>
            <w:r>
              <w:t xml:space="preserve">SafeSport Online Training </w:t>
            </w:r>
          </w:p>
          <w:p w14:paraId="67B45434" w14:textId="77777777" w:rsidR="00AC5DAD" w:rsidRDefault="00000000">
            <w:pPr>
              <w:spacing w:after="0" w:line="259" w:lineRule="auto"/>
              <w:ind w:left="4" w:firstLine="0"/>
              <w:jc w:val="center"/>
            </w:pPr>
            <w:r>
              <w:t xml:space="preserve">Safe and Healthy Playing Environments </w:t>
            </w:r>
          </w:p>
        </w:tc>
      </w:tr>
      <w:tr w:rsidR="00AC5DAD" w14:paraId="55AF611D" w14:textId="77777777">
        <w:trPr>
          <w:trHeight w:val="590"/>
        </w:trPr>
        <w:tc>
          <w:tcPr>
            <w:tcW w:w="9151" w:type="dxa"/>
            <w:gridSpan w:val="2"/>
            <w:tcBorders>
              <w:top w:val="single" w:sz="4" w:space="0" w:color="000000"/>
              <w:left w:val="single" w:sz="4" w:space="0" w:color="000000"/>
              <w:bottom w:val="single" w:sz="8" w:space="0" w:color="000000"/>
              <w:right w:val="single" w:sz="4" w:space="0" w:color="000000"/>
            </w:tcBorders>
            <w:vAlign w:val="center"/>
          </w:tcPr>
          <w:p w14:paraId="3F3B0158" w14:textId="77777777" w:rsidR="00AC5DAD" w:rsidRDefault="00000000">
            <w:pPr>
              <w:spacing w:after="0" w:line="259" w:lineRule="auto"/>
              <w:ind w:left="0" w:firstLine="0"/>
              <w:jc w:val="center"/>
            </w:pPr>
            <w:r>
              <w:rPr>
                <w:b/>
              </w:rPr>
              <w:t xml:space="preserve">Annual Re-Certification Requirements </w:t>
            </w:r>
          </w:p>
        </w:tc>
      </w:tr>
      <w:tr w:rsidR="00AC5DAD" w14:paraId="00E1263D" w14:textId="77777777">
        <w:trPr>
          <w:trHeight w:val="617"/>
        </w:trPr>
        <w:tc>
          <w:tcPr>
            <w:tcW w:w="4577" w:type="dxa"/>
            <w:tcBorders>
              <w:top w:val="single" w:sz="8" w:space="0" w:color="000000"/>
              <w:left w:val="single" w:sz="4" w:space="0" w:color="000000"/>
              <w:bottom w:val="single" w:sz="4" w:space="0" w:color="000000"/>
              <w:right w:val="single" w:sz="4" w:space="0" w:color="000000"/>
            </w:tcBorders>
            <w:vAlign w:val="center"/>
          </w:tcPr>
          <w:p w14:paraId="442D6EB3" w14:textId="77777777" w:rsidR="00AC5DAD" w:rsidRDefault="00000000">
            <w:pPr>
              <w:spacing w:after="0" w:line="259" w:lineRule="auto"/>
              <w:ind w:left="3" w:firstLine="0"/>
              <w:jc w:val="center"/>
            </w:pPr>
            <w:r>
              <w:t xml:space="preserve">In-Service Training </w:t>
            </w:r>
          </w:p>
        </w:tc>
        <w:tc>
          <w:tcPr>
            <w:tcW w:w="4574" w:type="dxa"/>
            <w:tcBorders>
              <w:top w:val="single" w:sz="8" w:space="0" w:color="000000"/>
              <w:left w:val="single" w:sz="4" w:space="0" w:color="000000"/>
              <w:bottom w:val="single" w:sz="4" w:space="0" w:color="000000"/>
              <w:right w:val="single" w:sz="4" w:space="0" w:color="000000"/>
            </w:tcBorders>
          </w:tcPr>
          <w:p w14:paraId="106D4D88" w14:textId="77777777" w:rsidR="00AC5DAD" w:rsidRDefault="00000000">
            <w:pPr>
              <w:spacing w:after="0" w:line="259" w:lineRule="auto"/>
              <w:ind w:left="900" w:right="900" w:firstLine="0"/>
              <w:jc w:val="center"/>
            </w:pPr>
            <w:r>
              <w:t xml:space="preserve">Determined by the State Referee Association </w:t>
            </w:r>
          </w:p>
          <w:p w14:paraId="1DFCA8B7" w14:textId="2A9F78DE" w:rsidR="00E109EC" w:rsidRPr="00E109EC" w:rsidRDefault="00E109EC">
            <w:pPr>
              <w:spacing w:after="0" w:line="259" w:lineRule="auto"/>
              <w:ind w:left="900" w:right="900" w:firstLine="0"/>
              <w:jc w:val="center"/>
              <w:rPr>
                <w:b/>
                <w:bCs/>
              </w:rPr>
            </w:pPr>
            <w:r w:rsidRPr="00E109EC">
              <w:rPr>
                <w:b/>
                <w:bCs/>
                <w:color w:val="0070C0"/>
              </w:rPr>
              <w:t>Mo – pass in-service online modules</w:t>
            </w:r>
          </w:p>
        </w:tc>
      </w:tr>
      <w:tr w:rsidR="00AC5DAD" w14:paraId="60DE422F" w14:textId="77777777">
        <w:trPr>
          <w:trHeight w:val="540"/>
        </w:trPr>
        <w:tc>
          <w:tcPr>
            <w:tcW w:w="4577" w:type="dxa"/>
            <w:tcBorders>
              <w:top w:val="single" w:sz="4" w:space="0" w:color="000000"/>
              <w:left w:val="single" w:sz="4" w:space="0" w:color="000000"/>
              <w:bottom w:val="single" w:sz="4" w:space="0" w:color="000000"/>
              <w:right w:val="single" w:sz="4" w:space="0" w:color="000000"/>
            </w:tcBorders>
            <w:vAlign w:val="center"/>
          </w:tcPr>
          <w:p w14:paraId="588496A6" w14:textId="77777777" w:rsidR="00AC5DAD" w:rsidRDefault="00000000">
            <w:pPr>
              <w:spacing w:after="0" w:line="259" w:lineRule="auto"/>
              <w:ind w:left="2" w:firstLine="0"/>
              <w:jc w:val="center"/>
            </w:pPr>
            <w:r>
              <w:t xml:space="preserve">Course Quiz </w:t>
            </w:r>
          </w:p>
        </w:tc>
        <w:tc>
          <w:tcPr>
            <w:tcW w:w="4574" w:type="dxa"/>
            <w:tcBorders>
              <w:top w:val="single" w:sz="4" w:space="0" w:color="000000"/>
              <w:left w:val="single" w:sz="4" w:space="0" w:color="000000"/>
              <w:bottom w:val="single" w:sz="4" w:space="0" w:color="000000"/>
              <w:right w:val="single" w:sz="4" w:space="0" w:color="000000"/>
            </w:tcBorders>
            <w:vAlign w:val="center"/>
          </w:tcPr>
          <w:p w14:paraId="719449C0" w14:textId="77777777" w:rsidR="00AC5DAD" w:rsidRDefault="00000000">
            <w:pPr>
              <w:spacing w:after="0" w:line="259" w:lineRule="auto"/>
              <w:ind w:left="2" w:firstLine="0"/>
              <w:jc w:val="center"/>
            </w:pPr>
            <w:r>
              <w:t xml:space="preserve">Grassroots Assignor Quiz </w:t>
            </w:r>
          </w:p>
        </w:tc>
      </w:tr>
      <w:tr w:rsidR="00AC5DAD" w14:paraId="268FA395" w14:textId="77777777">
        <w:trPr>
          <w:trHeight w:val="900"/>
        </w:trPr>
        <w:tc>
          <w:tcPr>
            <w:tcW w:w="4577" w:type="dxa"/>
            <w:tcBorders>
              <w:top w:val="single" w:sz="4" w:space="0" w:color="000000"/>
              <w:left w:val="single" w:sz="4" w:space="0" w:color="000000"/>
              <w:bottom w:val="single" w:sz="4" w:space="0" w:color="000000"/>
              <w:right w:val="single" w:sz="4" w:space="0" w:color="000000"/>
            </w:tcBorders>
          </w:tcPr>
          <w:p w14:paraId="499DF398" w14:textId="77777777" w:rsidR="00AC5DAD" w:rsidRDefault="00000000">
            <w:pPr>
              <w:spacing w:after="0" w:line="259" w:lineRule="auto"/>
              <w:ind w:left="0" w:firstLine="0"/>
              <w:jc w:val="center"/>
            </w:pPr>
            <w:r>
              <w:t xml:space="preserve">Risk Management and Compliance </w:t>
            </w:r>
          </w:p>
        </w:tc>
        <w:tc>
          <w:tcPr>
            <w:tcW w:w="4574" w:type="dxa"/>
            <w:tcBorders>
              <w:top w:val="single" w:sz="4" w:space="0" w:color="000000"/>
              <w:left w:val="single" w:sz="4" w:space="0" w:color="000000"/>
              <w:bottom w:val="single" w:sz="4" w:space="0" w:color="000000"/>
              <w:right w:val="single" w:sz="4" w:space="0" w:color="000000"/>
            </w:tcBorders>
          </w:tcPr>
          <w:p w14:paraId="4B96E4FC" w14:textId="77777777" w:rsidR="00AC5DAD" w:rsidRDefault="00000000">
            <w:pPr>
              <w:spacing w:after="0" w:line="259" w:lineRule="auto"/>
              <w:ind w:left="3" w:firstLine="0"/>
              <w:jc w:val="center"/>
            </w:pPr>
            <w:r>
              <w:t xml:space="preserve">NCSI Background Check – Gold Standard </w:t>
            </w:r>
          </w:p>
          <w:p w14:paraId="76DB7E6C" w14:textId="77777777" w:rsidR="00AC5DAD" w:rsidRDefault="00000000">
            <w:pPr>
              <w:spacing w:after="0" w:line="259" w:lineRule="auto"/>
              <w:ind w:left="2" w:firstLine="0"/>
              <w:jc w:val="center"/>
            </w:pPr>
            <w:r>
              <w:t xml:space="preserve">SafeSport Online Training </w:t>
            </w:r>
          </w:p>
          <w:p w14:paraId="5D8DDE22" w14:textId="77777777" w:rsidR="00AC5DAD" w:rsidRDefault="00000000">
            <w:pPr>
              <w:spacing w:after="0" w:line="259" w:lineRule="auto"/>
              <w:ind w:left="4" w:firstLine="0"/>
              <w:jc w:val="center"/>
            </w:pPr>
            <w:r>
              <w:t xml:space="preserve">Safe and Healthy Playing Environments </w:t>
            </w:r>
          </w:p>
        </w:tc>
      </w:tr>
    </w:tbl>
    <w:p w14:paraId="6F834DD0" w14:textId="77777777" w:rsidR="00AC5DAD" w:rsidRDefault="00000000">
      <w:r>
        <w:t xml:space="preserve">Notes: </w:t>
      </w:r>
    </w:p>
    <w:p w14:paraId="1B4D17BB" w14:textId="77777777" w:rsidR="00AC5DAD" w:rsidRPr="00E109EC" w:rsidRDefault="00000000">
      <w:pPr>
        <w:numPr>
          <w:ilvl w:val="0"/>
          <w:numId w:val="1"/>
        </w:numPr>
        <w:ind w:hanging="360"/>
      </w:pPr>
      <w:r>
        <w:t xml:space="preserve">All State Referee Association requirements </w:t>
      </w:r>
      <w:r>
        <w:rPr>
          <w:b/>
        </w:rPr>
        <w:t>must be made public</w:t>
      </w:r>
    </w:p>
    <w:p w14:paraId="552C6A45" w14:textId="20225A63" w:rsidR="00E109EC" w:rsidRDefault="00E109EC" w:rsidP="00E109EC">
      <w:pPr>
        <w:pStyle w:val="ListParagraph"/>
        <w:spacing w:after="0" w:line="259" w:lineRule="auto"/>
        <w:ind w:left="5026" w:right="5" w:firstLine="14"/>
        <w:jc w:val="center"/>
      </w:pPr>
      <w:r>
        <w:rPr>
          <w:rFonts w:ascii="Cambria" w:eastAsia="Cambria" w:hAnsi="Cambria" w:cs="Cambria"/>
          <w:sz w:val="24"/>
        </w:rPr>
        <w:t xml:space="preserve">                                                      </w:t>
      </w:r>
      <w:r w:rsidRPr="00E109EC">
        <w:rPr>
          <w:rFonts w:ascii="Cambria" w:eastAsia="Cambria" w:hAnsi="Cambria" w:cs="Cambria"/>
          <w:sz w:val="24"/>
        </w:rPr>
        <w:t xml:space="preserve">Page </w:t>
      </w:r>
      <w:r>
        <w:rPr>
          <w:rFonts w:ascii="Cambria" w:eastAsia="Cambria" w:hAnsi="Cambria" w:cs="Cambria"/>
          <w:sz w:val="24"/>
        </w:rPr>
        <w:t>1</w:t>
      </w:r>
      <w:r w:rsidRPr="00E109EC">
        <w:rPr>
          <w:rFonts w:ascii="Cambria" w:eastAsia="Cambria" w:hAnsi="Cambria" w:cs="Cambria"/>
          <w:sz w:val="24"/>
        </w:rPr>
        <w:t xml:space="preserve"> of </w:t>
      </w:r>
      <w:r w:rsidRPr="00E109EC">
        <w:rPr>
          <w:rFonts w:ascii="Cambria" w:eastAsia="Cambria" w:hAnsi="Cambria" w:cs="Cambria"/>
          <w:b/>
          <w:sz w:val="24"/>
        </w:rPr>
        <w:t>2</w:t>
      </w:r>
    </w:p>
    <w:p w14:paraId="4E8B6848" w14:textId="77777777" w:rsidR="00E109EC" w:rsidRDefault="00E109EC" w:rsidP="00E109EC">
      <w:pPr>
        <w:ind w:left="706" w:firstLine="0"/>
      </w:pPr>
    </w:p>
    <w:p w14:paraId="31388BF7" w14:textId="5496851F" w:rsidR="00E109EC" w:rsidRDefault="00000000" w:rsidP="00E109EC">
      <w:pPr>
        <w:numPr>
          <w:ilvl w:val="0"/>
          <w:numId w:val="1"/>
        </w:numPr>
        <w:ind w:hanging="360"/>
      </w:pPr>
      <w:r>
        <w:lastRenderedPageBreak/>
        <w:t>To successfully complete the course, candidates must demonstrate comprehensive knowledge of the subject matter and display effective practical skills as evaluated and determined by the course instructor(s) assigned by the State Referee Association</w:t>
      </w:r>
    </w:p>
    <w:p w14:paraId="07EE05AA" w14:textId="77777777" w:rsidR="00AC5DAD" w:rsidRDefault="00000000">
      <w:pPr>
        <w:numPr>
          <w:ilvl w:val="0"/>
          <w:numId w:val="1"/>
        </w:numPr>
        <w:ind w:hanging="360"/>
      </w:pPr>
      <w:r>
        <w:t>All training and in-service training requirements can be completed online and/or in the classroom setting as determined by the State Referee Association and there are no minimum number of hours associated with either requirement</w:t>
      </w:r>
    </w:p>
    <w:p w14:paraId="515BFA09" w14:textId="77777777" w:rsidR="00AC5DAD" w:rsidRDefault="00000000">
      <w:pPr>
        <w:numPr>
          <w:ilvl w:val="0"/>
          <w:numId w:val="1"/>
        </w:numPr>
        <w:spacing w:after="309"/>
        <w:ind w:hanging="360"/>
      </w:pPr>
      <w:r>
        <w:t>The minimum passing test score is 80% and all testing requirements can be completed online and/or in the classroom setting as determined by the State Referee Association</w:t>
      </w:r>
    </w:p>
    <w:p w14:paraId="3E0BE52B" w14:textId="20EE023A" w:rsidR="00525E0D" w:rsidRPr="00ED5D0F" w:rsidRDefault="00525E0D">
      <w:pPr>
        <w:numPr>
          <w:ilvl w:val="0"/>
          <w:numId w:val="1"/>
        </w:numPr>
        <w:spacing w:after="309"/>
        <w:ind w:hanging="360"/>
        <w:rPr>
          <w:color w:val="0070C0"/>
        </w:rPr>
      </w:pPr>
      <w:r w:rsidRPr="00ED5D0F">
        <w:rPr>
          <w:color w:val="0070C0"/>
        </w:rPr>
        <w:t xml:space="preserve">* If an assignor candidate </w:t>
      </w:r>
      <w:r w:rsidR="00873548" w:rsidRPr="00ED5D0F">
        <w:rPr>
          <w:color w:val="0070C0"/>
        </w:rPr>
        <w:t xml:space="preserve">or candidate that is an emergency assignor </w:t>
      </w:r>
      <w:r w:rsidRPr="00ED5D0F">
        <w:rPr>
          <w:color w:val="0070C0"/>
        </w:rPr>
        <w:t>does not meet the minimum requirements of the SRC, ONLY the SRC can waive the requirement</w:t>
      </w:r>
      <w:r w:rsidR="00873548" w:rsidRPr="00ED5D0F">
        <w:rPr>
          <w:color w:val="0070C0"/>
        </w:rPr>
        <w:t>s. This i</w:t>
      </w:r>
      <w:r w:rsidRPr="00ED5D0F">
        <w:rPr>
          <w:color w:val="0070C0"/>
        </w:rPr>
        <w:t xml:space="preserve">s </w:t>
      </w:r>
      <w:r w:rsidR="00873548" w:rsidRPr="00ED5D0F">
        <w:rPr>
          <w:color w:val="0070C0"/>
        </w:rPr>
        <w:t xml:space="preserve">done </w:t>
      </w:r>
      <w:r w:rsidRPr="00ED5D0F">
        <w:rPr>
          <w:color w:val="0070C0"/>
        </w:rPr>
        <w:t xml:space="preserve">on a </w:t>
      </w:r>
      <w:proofErr w:type="gramStart"/>
      <w:r w:rsidRPr="00ED5D0F">
        <w:rPr>
          <w:color w:val="0070C0"/>
        </w:rPr>
        <w:t>case by case</w:t>
      </w:r>
      <w:proofErr w:type="gramEnd"/>
      <w:r w:rsidRPr="00ED5D0F">
        <w:rPr>
          <w:color w:val="0070C0"/>
        </w:rPr>
        <w:t xml:space="preserve"> basis</w:t>
      </w:r>
    </w:p>
    <w:p w14:paraId="50941CB6" w14:textId="2B1D6989" w:rsidR="00AC5DAD" w:rsidRPr="00E109EC" w:rsidRDefault="00000000">
      <w:pPr>
        <w:spacing w:after="277" w:line="259" w:lineRule="auto"/>
        <w:ind w:left="0" w:firstLine="0"/>
        <w:jc w:val="right"/>
        <w:rPr>
          <w:color w:val="0070C0"/>
        </w:rPr>
      </w:pPr>
      <w:r w:rsidRPr="00E109EC">
        <w:rPr>
          <w:rFonts w:ascii="Cambria" w:eastAsia="Cambria" w:hAnsi="Cambria" w:cs="Cambria"/>
          <w:color w:val="0070C0"/>
          <w:sz w:val="16"/>
        </w:rPr>
        <w:t xml:space="preserve">Last Updated </w:t>
      </w:r>
      <w:r w:rsidR="00E109EC" w:rsidRPr="00E109EC">
        <w:rPr>
          <w:rFonts w:ascii="Cambria" w:eastAsia="Cambria" w:hAnsi="Cambria" w:cs="Cambria"/>
          <w:color w:val="0070C0"/>
          <w:sz w:val="16"/>
        </w:rPr>
        <w:t>October 11, 2023</w:t>
      </w:r>
      <w:r w:rsidRPr="00E109EC">
        <w:rPr>
          <w:rFonts w:ascii="Cambria" w:eastAsia="Cambria" w:hAnsi="Cambria" w:cs="Cambria"/>
          <w:color w:val="0070C0"/>
          <w:sz w:val="16"/>
        </w:rPr>
        <w:t xml:space="preserve"> </w:t>
      </w:r>
    </w:p>
    <w:p w14:paraId="5D1E4C1B" w14:textId="5501FB4E" w:rsidR="00AC5DAD" w:rsidRDefault="00000000">
      <w:pPr>
        <w:spacing w:after="0" w:line="259" w:lineRule="auto"/>
        <w:ind w:left="0" w:right="5" w:firstLine="0"/>
        <w:jc w:val="right"/>
      </w:pPr>
      <w:r>
        <w:rPr>
          <w:rFonts w:ascii="Cambria" w:eastAsia="Cambria" w:hAnsi="Cambria" w:cs="Cambria"/>
          <w:sz w:val="24"/>
        </w:rPr>
        <w:t xml:space="preserve">Page </w:t>
      </w:r>
      <w:r w:rsidR="00E109EC">
        <w:rPr>
          <w:rFonts w:ascii="Cambria" w:eastAsia="Cambria" w:hAnsi="Cambria" w:cs="Cambria"/>
          <w:sz w:val="24"/>
        </w:rPr>
        <w:t>2</w:t>
      </w:r>
      <w:r>
        <w:rPr>
          <w:rFonts w:ascii="Cambria" w:eastAsia="Cambria" w:hAnsi="Cambria" w:cs="Cambria"/>
          <w:sz w:val="24"/>
        </w:rPr>
        <w:t xml:space="preserve"> of </w:t>
      </w:r>
      <w:r w:rsidR="00E109EC">
        <w:rPr>
          <w:rFonts w:ascii="Cambria" w:eastAsia="Cambria" w:hAnsi="Cambria" w:cs="Cambria"/>
          <w:b/>
          <w:sz w:val="24"/>
        </w:rPr>
        <w:t>2</w:t>
      </w:r>
    </w:p>
    <w:sectPr w:rsidR="00AC5DAD">
      <w:pgSz w:w="12240" w:h="15840"/>
      <w:pgMar w:top="1440" w:right="143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668FE"/>
    <w:multiLevelType w:val="hybridMultilevel"/>
    <w:tmpl w:val="6C9AA8C2"/>
    <w:lvl w:ilvl="0" w:tplc="B3A2E6B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E8D47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A4AC8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7A1DC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FE9D8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4E19C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A63C8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64D3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9266D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4045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AD"/>
    <w:rsid w:val="00525E0D"/>
    <w:rsid w:val="00873548"/>
    <w:rsid w:val="00AC5DAD"/>
    <w:rsid w:val="00E109EC"/>
    <w:rsid w:val="00ED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7353"/>
  <w15:docId w15:val="{1CD87461-8E80-4912-A019-E918D596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1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Trejo</dc:creator>
  <cp:keywords/>
  <cp:lastModifiedBy>Jeff Kollmeyer</cp:lastModifiedBy>
  <cp:revision>3</cp:revision>
  <dcterms:created xsi:type="dcterms:W3CDTF">2023-10-12T01:10:00Z</dcterms:created>
  <dcterms:modified xsi:type="dcterms:W3CDTF">2023-10-12T01:12:00Z</dcterms:modified>
</cp:coreProperties>
</file>